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5BA" w:rsidRDefault="00DB25BA" w:rsidP="00DB25BA">
      <w:pPr>
        <w:jc w:val="right"/>
      </w:pPr>
    </w:p>
    <w:p w:rsidR="00C10A13" w:rsidRDefault="0068387C" w:rsidP="00C10A13">
      <w:pPr>
        <w:pStyle w:val="Heading1"/>
        <w:rPr>
          <w:lang w:eastAsia="en-GB"/>
        </w:rPr>
      </w:pPr>
      <w:r>
        <w:rPr>
          <w:lang w:eastAsia="en-GB"/>
        </w:rPr>
        <w:t xml:space="preserve">Transition Research Programme: </w:t>
      </w:r>
      <w:r w:rsidR="00C10A13" w:rsidRPr="00084B79">
        <w:rPr>
          <w:lang w:eastAsia="en-GB"/>
        </w:rPr>
        <w:t>Key implications for the practice of commissioners, managers and clinicians</w:t>
      </w:r>
    </w:p>
    <w:p w:rsidR="00C10A13" w:rsidRPr="00556EEF" w:rsidRDefault="00C10A13" w:rsidP="00C10A13">
      <w:pPr>
        <w:rPr>
          <w:lang w:eastAsia="en-GB"/>
        </w:rPr>
      </w:pPr>
    </w:p>
    <w:p w:rsidR="00C10A13" w:rsidRDefault="00C10A13" w:rsidP="00C10A13">
      <w:pPr>
        <w:spacing w:after="0" w:line="360" w:lineRule="auto"/>
        <w:rPr>
          <w:rFonts w:cs="Times New Roman"/>
          <w:b/>
          <w:sz w:val="24"/>
          <w:lang w:eastAsia="zh-CN"/>
        </w:rPr>
      </w:pPr>
      <w:r w:rsidRPr="00556EEF">
        <w:rPr>
          <w:rFonts w:cs="Times New Roman"/>
          <w:b/>
          <w:sz w:val="24"/>
          <w:lang w:eastAsia="zh-CN"/>
        </w:rPr>
        <w:t>1 Transitional care should be commissioned by commissioners of adult services as well as by c</w:t>
      </w:r>
      <w:r>
        <w:rPr>
          <w:rFonts w:cs="Times New Roman"/>
          <w:b/>
          <w:sz w:val="24"/>
          <w:lang w:eastAsia="zh-CN"/>
        </w:rPr>
        <w:t>ommissioners of child services.</w:t>
      </w:r>
    </w:p>
    <w:p w:rsidR="00C10A13" w:rsidRPr="00556EEF" w:rsidRDefault="00C10A13" w:rsidP="00C10A13">
      <w:pPr>
        <w:spacing w:after="0" w:line="360" w:lineRule="auto"/>
        <w:rPr>
          <w:rFonts w:cs="Times New Roman"/>
          <w:b/>
          <w:sz w:val="24"/>
          <w:lang w:eastAsia="zh-CN"/>
        </w:rPr>
      </w:pPr>
      <w:r w:rsidRPr="00F6786E">
        <w:rPr>
          <w:rFonts w:cs="Times New Roman"/>
          <w:sz w:val="24"/>
          <w:lang w:eastAsia="zh-CN"/>
        </w:rPr>
        <w:t>We found that commissioners and providers regarded Transition as the responsibility of children’s services; this is inappropriate as Transition extends to approximately age 24.</w:t>
      </w:r>
    </w:p>
    <w:p w:rsidR="00C10A13" w:rsidRPr="00F6786E" w:rsidRDefault="00C10A13" w:rsidP="00C10A13">
      <w:pPr>
        <w:spacing w:line="360" w:lineRule="auto"/>
        <w:rPr>
          <w:rFonts w:cs="Times New Roman"/>
          <w:b/>
          <w:sz w:val="24"/>
          <w:lang w:eastAsia="zh-CN"/>
        </w:rPr>
      </w:pPr>
      <w:r w:rsidRPr="00F6786E">
        <w:rPr>
          <w:rFonts w:cs="Times New Roman"/>
          <w:b/>
          <w:sz w:val="24"/>
          <w:lang w:eastAsia="zh-CN"/>
        </w:rPr>
        <w:t>Where an adult service to which to transfer young people with a long term condition is not commissioned, commissioners should set out explicitly that the transfer arrangements will usually be to primary care, and require appropriate documentation and assistance to the young person to make their first appointment.</w:t>
      </w:r>
    </w:p>
    <w:p w:rsidR="00C10A13" w:rsidRPr="00556EEF" w:rsidRDefault="00C10A13" w:rsidP="00C10A13">
      <w:pPr>
        <w:spacing w:after="0" w:line="360" w:lineRule="auto"/>
        <w:rPr>
          <w:rFonts w:cs="Times New Roman"/>
          <w:b/>
          <w:sz w:val="24"/>
          <w:lang w:eastAsia="zh-CN"/>
        </w:rPr>
      </w:pPr>
      <w:r w:rsidRPr="00556EEF">
        <w:rPr>
          <w:rFonts w:cs="Times New Roman"/>
          <w:b/>
          <w:sz w:val="24"/>
          <w:lang w:eastAsia="zh-CN"/>
        </w:rPr>
        <w:t>2 A framework to provide ‘Developmentally Appropriate Healthcare’ across NHS organisations should be commissioned</w:t>
      </w:r>
      <w:r w:rsidR="007243D5">
        <w:rPr>
          <w:rFonts w:cs="Times New Roman"/>
          <w:b/>
          <w:sz w:val="24"/>
          <w:lang w:eastAsia="zh-CN"/>
        </w:rPr>
        <w:t>,</w:t>
      </w:r>
      <w:r w:rsidRPr="00556EEF">
        <w:rPr>
          <w:rFonts w:cs="Times New Roman"/>
          <w:b/>
          <w:sz w:val="24"/>
          <w:lang w:eastAsia="zh-CN"/>
        </w:rPr>
        <w:t xml:space="preserve"> with the stipulation that this is owned at Chief Executive and Board level.</w:t>
      </w:r>
    </w:p>
    <w:p w:rsidR="007243D5" w:rsidRDefault="00C10A13" w:rsidP="007243D5">
      <w:pPr>
        <w:spacing w:after="0" w:line="360" w:lineRule="auto"/>
        <w:rPr>
          <w:rFonts w:cs="Times New Roman"/>
          <w:sz w:val="24"/>
        </w:rPr>
      </w:pPr>
      <w:r w:rsidRPr="00084B79">
        <w:rPr>
          <w:rFonts w:cs="Times New Roman"/>
          <w:sz w:val="24"/>
        </w:rPr>
        <w:t>‘Developmentally Appropriate Healthcare recognises the changing biopsychosocial developmental needs of young people and the need to empower young people by embedding health education and health promotion in consultations.</w:t>
      </w:r>
    </w:p>
    <w:p w:rsidR="00C10A13" w:rsidRPr="00084B79" w:rsidRDefault="00C10A13" w:rsidP="00C10A13">
      <w:pPr>
        <w:spacing w:line="360" w:lineRule="auto"/>
        <w:rPr>
          <w:rFonts w:cs="Times New Roman"/>
          <w:sz w:val="24"/>
        </w:rPr>
      </w:pPr>
      <w:r w:rsidRPr="00084B79">
        <w:rPr>
          <w:rFonts w:cs="Times New Roman"/>
          <w:sz w:val="24"/>
        </w:rPr>
        <w:t xml:space="preserve">In operational terms Developmentally Appropriate Healthcare focuses on the approach of healthcare professionals to and engagement with each young person and their </w:t>
      </w:r>
      <w:proofErr w:type="spellStart"/>
      <w:r w:rsidRPr="00084B79">
        <w:rPr>
          <w:rFonts w:cs="Times New Roman"/>
          <w:sz w:val="24"/>
        </w:rPr>
        <w:t>carers</w:t>
      </w:r>
      <w:proofErr w:type="spellEnd"/>
      <w:r w:rsidR="007243D5">
        <w:rPr>
          <w:rFonts w:cs="Times New Roman"/>
          <w:sz w:val="24"/>
        </w:rPr>
        <w:t>,</w:t>
      </w:r>
      <w:r w:rsidRPr="00084B79">
        <w:rPr>
          <w:rFonts w:cs="Times New Roman"/>
          <w:sz w:val="24"/>
        </w:rPr>
        <w:t xml:space="preserve"> alongside the structure of the organisations in which care takes place.’</w:t>
      </w:r>
    </w:p>
    <w:p w:rsidR="00C10A13" w:rsidRPr="00556EEF" w:rsidRDefault="00C10A13" w:rsidP="00C10A13">
      <w:pPr>
        <w:spacing w:after="0" w:line="360" w:lineRule="auto"/>
        <w:rPr>
          <w:rFonts w:cs="Times New Roman"/>
          <w:b/>
          <w:sz w:val="24"/>
          <w:lang w:eastAsia="zh-CN"/>
        </w:rPr>
      </w:pPr>
      <w:r w:rsidRPr="00556EEF">
        <w:rPr>
          <w:rFonts w:cs="Times New Roman"/>
          <w:b/>
          <w:sz w:val="24"/>
          <w:lang w:eastAsia="zh-CN"/>
        </w:rPr>
        <w:t>3 NHS org</w:t>
      </w:r>
      <w:r>
        <w:rPr>
          <w:rFonts w:cs="Times New Roman"/>
          <w:b/>
          <w:sz w:val="24"/>
          <w:lang w:eastAsia="zh-CN"/>
        </w:rPr>
        <w:t xml:space="preserve">anisations should adopt a </w:t>
      </w:r>
      <w:proofErr w:type="spellStart"/>
      <w:r>
        <w:rPr>
          <w:rFonts w:cs="Times New Roman"/>
          <w:b/>
          <w:sz w:val="24"/>
          <w:lang w:eastAsia="zh-CN"/>
        </w:rPr>
        <w:t>Trust</w:t>
      </w:r>
      <w:r w:rsidRPr="00556EEF">
        <w:rPr>
          <w:rFonts w:cs="Times New Roman"/>
          <w:b/>
          <w:sz w:val="24"/>
          <w:lang w:eastAsia="zh-CN"/>
        </w:rPr>
        <w:t>wide</w:t>
      </w:r>
      <w:proofErr w:type="spellEnd"/>
      <w:r w:rsidRPr="00556EEF">
        <w:rPr>
          <w:rFonts w:cs="Times New Roman"/>
          <w:b/>
          <w:sz w:val="24"/>
          <w:lang w:eastAsia="zh-CN"/>
        </w:rPr>
        <w:t xml:space="preserve"> approach to implementation of better transitional care.</w:t>
      </w:r>
      <w:r>
        <w:rPr>
          <w:rFonts w:cs="Times New Roman"/>
          <w:b/>
          <w:sz w:val="24"/>
          <w:lang w:eastAsia="zh-CN"/>
        </w:rPr>
        <w:t xml:space="preserve"> A </w:t>
      </w:r>
      <w:r w:rsidRPr="00F6786E">
        <w:rPr>
          <w:rFonts w:cs="Times New Roman"/>
          <w:b/>
          <w:sz w:val="24"/>
          <w:lang w:eastAsia="zh-CN"/>
        </w:rPr>
        <w:t xml:space="preserve">Transition Steering Committee, chaired by a </w:t>
      </w:r>
      <w:proofErr w:type="spellStart"/>
      <w:r w:rsidRPr="00F6786E">
        <w:rPr>
          <w:rFonts w:cs="Times New Roman"/>
          <w:b/>
          <w:sz w:val="24"/>
          <w:lang w:eastAsia="zh-CN"/>
        </w:rPr>
        <w:t>Trustwide</w:t>
      </w:r>
      <w:proofErr w:type="spellEnd"/>
      <w:r w:rsidRPr="00F6786E">
        <w:rPr>
          <w:rFonts w:cs="Times New Roman"/>
          <w:b/>
          <w:sz w:val="24"/>
          <w:lang w:eastAsia="zh-CN"/>
        </w:rPr>
        <w:t xml:space="preserve"> Transition Coordinator</w:t>
      </w:r>
      <w:r w:rsidR="007243D5">
        <w:rPr>
          <w:rFonts w:cs="Times New Roman"/>
          <w:b/>
          <w:sz w:val="24"/>
          <w:lang w:eastAsia="zh-CN"/>
        </w:rPr>
        <w:t xml:space="preserve">, </w:t>
      </w:r>
      <w:r w:rsidRPr="00F6786E">
        <w:rPr>
          <w:rFonts w:cs="Times New Roman"/>
          <w:b/>
          <w:sz w:val="24"/>
          <w:lang w:eastAsia="zh-CN"/>
        </w:rPr>
        <w:t>can facilitate this.</w:t>
      </w:r>
    </w:p>
    <w:p w:rsidR="00C10A13" w:rsidRDefault="00C10A13" w:rsidP="00C10A13">
      <w:pPr>
        <w:spacing w:line="360" w:lineRule="auto"/>
        <w:rPr>
          <w:rFonts w:cs="Times New Roman"/>
          <w:sz w:val="24"/>
          <w:lang w:eastAsia="zh-CN"/>
        </w:rPr>
      </w:pPr>
      <w:r w:rsidRPr="00084B79">
        <w:rPr>
          <w:rFonts w:cs="Times New Roman"/>
          <w:sz w:val="24"/>
          <w:lang w:eastAsia="zh-CN"/>
        </w:rPr>
        <w:t xml:space="preserve">We found that in many Trusts good practice led by enthusiasts rarely generalised to other specialties or to adult services. At sites we visited </w:t>
      </w:r>
      <w:r w:rsidRPr="00F6786E">
        <w:rPr>
          <w:rFonts w:cs="Times New Roman"/>
          <w:sz w:val="24"/>
          <w:lang w:eastAsia="zh-CN"/>
        </w:rPr>
        <w:t xml:space="preserve">where there was a Transition Steering Committee, chaired by a </w:t>
      </w:r>
      <w:proofErr w:type="spellStart"/>
      <w:r w:rsidRPr="00F6786E">
        <w:rPr>
          <w:rFonts w:cs="Times New Roman"/>
          <w:sz w:val="24"/>
          <w:lang w:eastAsia="zh-CN"/>
        </w:rPr>
        <w:t>Trustwide</w:t>
      </w:r>
      <w:proofErr w:type="spellEnd"/>
      <w:r w:rsidRPr="00F6786E">
        <w:rPr>
          <w:rFonts w:cs="Times New Roman"/>
          <w:sz w:val="24"/>
          <w:lang w:eastAsia="zh-CN"/>
        </w:rPr>
        <w:t xml:space="preserve"> Transition Coordinator, this took advantage of the skills and enthusiasm of those already providing good practice; and assisted with training and consistent implementation in adult and child services and across specialties.</w:t>
      </w:r>
    </w:p>
    <w:p w:rsidR="00C10A13" w:rsidRPr="00084B79" w:rsidRDefault="00C10A13" w:rsidP="00C10A13">
      <w:pPr>
        <w:spacing w:line="360" w:lineRule="auto"/>
        <w:rPr>
          <w:rFonts w:cs="Times New Roman"/>
          <w:sz w:val="24"/>
          <w:lang w:eastAsia="zh-CN"/>
        </w:rPr>
      </w:pPr>
    </w:p>
    <w:p w:rsidR="00C10A13" w:rsidRPr="00556EEF" w:rsidRDefault="00C10A13" w:rsidP="00C10A13">
      <w:pPr>
        <w:spacing w:after="0" w:line="360" w:lineRule="auto"/>
        <w:rPr>
          <w:rFonts w:cs="Times New Roman"/>
          <w:b/>
          <w:sz w:val="24"/>
          <w:lang w:eastAsia="zh-CN"/>
        </w:rPr>
      </w:pPr>
      <w:r w:rsidRPr="00556EEF">
        <w:rPr>
          <w:rFonts w:cs="Times New Roman"/>
          <w:b/>
          <w:sz w:val="24"/>
          <w:lang w:eastAsia="zh-CN"/>
        </w:rPr>
        <w:t>4 Child clinicians should plan Transition procedures jointly with the relevant named adult clinicians and general practitioners.</w:t>
      </w:r>
    </w:p>
    <w:p w:rsidR="00C10A13" w:rsidRPr="00084B79" w:rsidRDefault="00C10A13" w:rsidP="00C10A13">
      <w:pPr>
        <w:spacing w:line="360" w:lineRule="auto"/>
        <w:rPr>
          <w:rFonts w:cs="Times New Roman"/>
          <w:sz w:val="24"/>
          <w:lang w:eastAsia="zh-CN"/>
        </w:rPr>
      </w:pPr>
      <w:r w:rsidRPr="00084B79">
        <w:rPr>
          <w:rFonts w:cs="Times New Roman"/>
          <w:sz w:val="24"/>
          <w:lang w:eastAsia="zh-CN"/>
        </w:rPr>
        <w:t>This is not just about the transfer of individual young peopl</w:t>
      </w:r>
      <w:r>
        <w:rPr>
          <w:rFonts w:cs="Times New Roman"/>
          <w:sz w:val="24"/>
          <w:lang w:eastAsia="zh-CN"/>
        </w:rPr>
        <w:t xml:space="preserve">e; it is also about joint </w:t>
      </w:r>
      <w:r w:rsidRPr="00084B79">
        <w:rPr>
          <w:rFonts w:cs="Times New Roman"/>
          <w:sz w:val="24"/>
          <w:lang w:eastAsia="zh-CN"/>
        </w:rPr>
        <w:t xml:space="preserve">planning </w:t>
      </w:r>
      <w:r w:rsidR="007243D5">
        <w:rPr>
          <w:rFonts w:cs="Times New Roman"/>
          <w:sz w:val="24"/>
          <w:lang w:eastAsia="zh-CN"/>
        </w:rPr>
        <w:t>of the services for transitional care</w:t>
      </w:r>
      <w:r w:rsidRPr="00084B79">
        <w:rPr>
          <w:rFonts w:cs="Times New Roman"/>
          <w:sz w:val="24"/>
          <w:lang w:eastAsia="zh-CN"/>
        </w:rPr>
        <w:t xml:space="preserve">; in other words the </w:t>
      </w:r>
      <w:r w:rsidR="007243D5">
        <w:rPr>
          <w:rFonts w:cs="Times New Roman"/>
          <w:sz w:val="24"/>
          <w:lang w:eastAsia="zh-CN"/>
        </w:rPr>
        <w:t xml:space="preserve">framework of </w:t>
      </w:r>
      <w:r w:rsidRPr="00084B79">
        <w:rPr>
          <w:rFonts w:cs="Times New Roman"/>
          <w:sz w:val="24"/>
          <w:lang w:eastAsia="zh-CN"/>
        </w:rPr>
        <w:t>Dev</w:t>
      </w:r>
      <w:r>
        <w:rPr>
          <w:rFonts w:cs="Times New Roman"/>
          <w:sz w:val="24"/>
          <w:lang w:eastAsia="zh-CN"/>
        </w:rPr>
        <w:t>elopmentally Appropriate Health</w:t>
      </w:r>
      <w:r w:rsidRPr="00084B79">
        <w:rPr>
          <w:rFonts w:cs="Times New Roman"/>
          <w:sz w:val="24"/>
          <w:lang w:eastAsia="zh-CN"/>
        </w:rPr>
        <w:t xml:space="preserve">care and </w:t>
      </w:r>
      <w:r>
        <w:rPr>
          <w:rFonts w:cs="Times New Roman"/>
          <w:sz w:val="24"/>
          <w:lang w:eastAsia="zh-CN"/>
        </w:rPr>
        <w:t xml:space="preserve">the </w:t>
      </w:r>
      <w:r w:rsidRPr="00084B79">
        <w:rPr>
          <w:rFonts w:cs="Times New Roman"/>
          <w:sz w:val="24"/>
          <w:lang w:eastAsia="zh-CN"/>
        </w:rPr>
        <w:t>features</w:t>
      </w:r>
      <w:r>
        <w:rPr>
          <w:rFonts w:cs="Times New Roman"/>
          <w:sz w:val="24"/>
          <w:lang w:eastAsia="zh-CN"/>
        </w:rPr>
        <w:t xml:space="preserve"> of transitional care services </w:t>
      </w:r>
      <w:r w:rsidRPr="00084B79">
        <w:rPr>
          <w:rFonts w:cs="Times New Roman"/>
          <w:sz w:val="24"/>
          <w:lang w:eastAsia="zh-CN"/>
        </w:rPr>
        <w:t xml:space="preserve">the Research Programme </w:t>
      </w:r>
      <w:r>
        <w:rPr>
          <w:rFonts w:cs="Times New Roman"/>
          <w:sz w:val="24"/>
          <w:lang w:eastAsia="zh-CN"/>
        </w:rPr>
        <w:t>found to be beneficial.</w:t>
      </w:r>
    </w:p>
    <w:p w:rsidR="00C10A13" w:rsidRPr="00556EEF" w:rsidRDefault="00C10A13" w:rsidP="00C10A13">
      <w:pPr>
        <w:spacing w:after="0" w:line="360" w:lineRule="auto"/>
        <w:rPr>
          <w:rFonts w:cs="Times New Roman"/>
          <w:b/>
          <w:sz w:val="24"/>
          <w:lang w:eastAsia="zh-CN"/>
        </w:rPr>
      </w:pPr>
      <w:r w:rsidRPr="00556EEF">
        <w:rPr>
          <w:rFonts w:cs="Times New Roman"/>
          <w:b/>
          <w:sz w:val="24"/>
          <w:lang w:eastAsia="zh-CN"/>
        </w:rPr>
        <w:t>5 Child and adult healthcare providers should explore with a young person how they approach Transition and personalise the clinical approach thereafter.</w:t>
      </w:r>
    </w:p>
    <w:p w:rsidR="00C10A13" w:rsidRPr="00084B79" w:rsidRDefault="00C10A13" w:rsidP="00C10A13">
      <w:pPr>
        <w:spacing w:line="360" w:lineRule="auto"/>
        <w:rPr>
          <w:rFonts w:cs="Times New Roman"/>
          <w:sz w:val="24"/>
          <w:lang w:eastAsia="zh-CN"/>
        </w:rPr>
      </w:pPr>
      <w:r w:rsidRPr="00084B79">
        <w:rPr>
          <w:rFonts w:cs="Times New Roman"/>
          <w:sz w:val="24"/>
          <w:lang w:eastAsia="zh-CN"/>
        </w:rPr>
        <w:t xml:space="preserve">We found there were four broad interaction styles that young people adopted when approaching their Transition: ‘laid back’, ‘anxious’, ‘wanting autonomy’, and ‘socially oriented’ </w:t>
      </w:r>
      <w:r w:rsidRPr="00C10A13">
        <w:rPr>
          <w:rFonts w:cs="Times New Roman"/>
          <w:sz w:val="24"/>
          <w:lang w:eastAsia="zh-CN"/>
        </w:rPr>
        <w:t xml:space="preserve">(welcomed </w:t>
      </w:r>
      <w:r w:rsidRPr="00084B79">
        <w:rPr>
          <w:rFonts w:cs="Times New Roman"/>
          <w:sz w:val="24"/>
          <w:lang w:eastAsia="zh-CN"/>
        </w:rPr>
        <w:t>support</w:t>
      </w:r>
      <w:r w:rsidRPr="00084B79">
        <w:rPr>
          <w:rFonts w:cs="Times New Roman"/>
          <w:sz w:val="24"/>
          <w:lang w:eastAsia="en-GB"/>
        </w:rPr>
        <w:t xml:space="preserve"> from and frequent discussions with family, friends and all healthcare professionals).</w:t>
      </w:r>
    </w:p>
    <w:p w:rsidR="00C10A13" w:rsidRDefault="00C10A13" w:rsidP="00C10A13">
      <w:pPr>
        <w:spacing w:line="360" w:lineRule="auto"/>
        <w:contextualSpacing/>
        <w:rPr>
          <w:rFonts w:cs="Times New Roman"/>
          <w:b/>
          <w:sz w:val="24"/>
          <w:szCs w:val="24"/>
        </w:rPr>
      </w:pPr>
      <w:r w:rsidRPr="00556EEF">
        <w:rPr>
          <w:rFonts w:cs="Times New Roman"/>
          <w:b/>
          <w:sz w:val="24"/>
          <w:szCs w:val="24"/>
        </w:rPr>
        <w:t>6 The features ‘</w:t>
      </w:r>
      <w:r w:rsidRPr="00556EEF">
        <w:rPr>
          <w:rFonts w:cs="Times New Roman"/>
          <w:b/>
          <w:sz w:val="24"/>
        </w:rPr>
        <w:t>Appropriate parent involvement’, ‘</w:t>
      </w:r>
      <w:r>
        <w:rPr>
          <w:rFonts w:cs="Times New Roman"/>
          <w:b/>
          <w:sz w:val="24"/>
        </w:rPr>
        <w:t>P</w:t>
      </w:r>
      <w:r w:rsidRPr="00C10A13">
        <w:rPr>
          <w:rFonts w:cs="Times New Roman"/>
          <w:b/>
          <w:sz w:val="24"/>
        </w:rPr>
        <w:t>romotion of young people’s confidence in managing their health condition</w:t>
      </w:r>
      <w:r>
        <w:rPr>
          <w:rFonts w:cs="Times New Roman"/>
          <w:b/>
          <w:sz w:val="24"/>
        </w:rPr>
        <w:t xml:space="preserve"> (</w:t>
      </w:r>
      <w:r w:rsidRPr="00556EEF">
        <w:rPr>
          <w:rFonts w:cs="Times New Roman"/>
          <w:b/>
          <w:sz w:val="24"/>
        </w:rPr>
        <w:t>health self-efficacy</w:t>
      </w:r>
      <w:r>
        <w:rPr>
          <w:rFonts w:cs="Times New Roman"/>
          <w:b/>
          <w:sz w:val="24"/>
        </w:rPr>
        <w:t>)</w:t>
      </w:r>
      <w:r w:rsidRPr="00556EEF">
        <w:rPr>
          <w:rFonts w:cs="Times New Roman"/>
          <w:b/>
          <w:sz w:val="24"/>
        </w:rPr>
        <w:t xml:space="preserve">’ and ‘Meeting the adult team before transfer’ were associated with </w:t>
      </w:r>
      <w:r w:rsidR="007243D5">
        <w:rPr>
          <w:rFonts w:cs="Times New Roman"/>
          <w:b/>
          <w:sz w:val="24"/>
        </w:rPr>
        <w:t xml:space="preserve">greater </w:t>
      </w:r>
      <w:r w:rsidRPr="00556EEF">
        <w:rPr>
          <w:rFonts w:cs="Times New Roman"/>
          <w:b/>
          <w:sz w:val="24"/>
          <w:szCs w:val="24"/>
        </w:rPr>
        <w:t>satisfaction with services, participation, subjective wellbeing a</w:t>
      </w:r>
      <w:r>
        <w:rPr>
          <w:rFonts w:cs="Times New Roman"/>
          <w:b/>
          <w:sz w:val="24"/>
          <w:szCs w:val="24"/>
        </w:rPr>
        <w:t>nd measures of disease control.</w:t>
      </w:r>
    </w:p>
    <w:p w:rsidR="00C10A13" w:rsidRPr="00556EEF" w:rsidRDefault="007243D5" w:rsidP="00C10A13">
      <w:pPr>
        <w:spacing w:line="360" w:lineRule="auto"/>
        <w:contextualSpacing/>
        <w:rPr>
          <w:rFonts w:cs="Times New Roman"/>
          <w:b/>
          <w:sz w:val="24"/>
          <w:szCs w:val="24"/>
        </w:rPr>
      </w:pPr>
      <w:r>
        <w:rPr>
          <w:rFonts w:cs="Times New Roman"/>
          <w:sz w:val="24"/>
          <w:szCs w:val="24"/>
        </w:rPr>
        <w:t>Therefore, we advise</w:t>
      </w:r>
      <w:r w:rsidR="00C10A13" w:rsidRPr="00F6786E">
        <w:rPr>
          <w:rFonts w:cs="Times New Roman"/>
          <w:sz w:val="24"/>
          <w:szCs w:val="24"/>
        </w:rPr>
        <w:t xml:space="preserve"> consideration should be given to ensuring that a commissioning specification includes that these feature are delivered by NHS organisations.</w:t>
      </w:r>
    </w:p>
    <w:p w:rsidR="00C10A13" w:rsidRDefault="00C10A13" w:rsidP="00C10A13">
      <w:pPr>
        <w:spacing w:after="0" w:line="360" w:lineRule="auto"/>
        <w:rPr>
          <w:rFonts w:cs="Times New Roman"/>
          <w:b/>
          <w:sz w:val="24"/>
          <w:szCs w:val="24"/>
        </w:rPr>
      </w:pPr>
    </w:p>
    <w:p w:rsidR="00C10A13" w:rsidRDefault="00C10A13" w:rsidP="00C10A13">
      <w:pPr>
        <w:spacing w:after="0" w:line="360" w:lineRule="auto"/>
        <w:rPr>
          <w:rFonts w:cs="Times New Roman"/>
          <w:b/>
          <w:sz w:val="24"/>
          <w:szCs w:val="24"/>
        </w:rPr>
      </w:pPr>
      <w:r w:rsidRPr="00556EEF">
        <w:rPr>
          <w:rFonts w:cs="Times New Roman"/>
          <w:b/>
          <w:sz w:val="24"/>
          <w:szCs w:val="24"/>
        </w:rPr>
        <w:t>7 Maximal service uptake would be achieved by a service which encouraged parental involvement, ensured the same staff were seen at each clinic, emphasised the importance of good communication with young people, and encouraged young people to make decisions about their care.</w:t>
      </w:r>
    </w:p>
    <w:p w:rsidR="00C10A13" w:rsidRDefault="00C10A13" w:rsidP="00C10A13">
      <w:pPr>
        <w:spacing w:line="360" w:lineRule="auto"/>
        <w:rPr>
          <w:rFonts w:cs="Times New Roman"/>
          <w:b/>
          <w:sz w:val="24"/>
          <w:lang w:eastAsia="zh-CN"/>
        </w:rPr>
      </w:pPr>
      <w:r>
        <w:rPr>
          <w:rFonts w:cs="Times New Roman"/>
          <w:b/>
          <w:sz w:val="24"/>
          <w:lang w:eastAsia="zh-CN"/>
        </w:rPr>
        <w:t>G</w:t>
      </w:r>
      <w:r w:rsidRPr="00556EEF">
        <w:rPr>
          <w:rFonts w:cs="Times New Roman"/>
          <w:b/>
          <w:sz w:val="24"/>
          <w:lang w:eastAsia="zh-CN"/>
        </w:rPr>
        <w:t>ood value for money</w:t>
      </w:r>
      <w:r>
        <w:rPr>
          <w:rFonts w:cs="Times New Roman"/>
          <w:b/>
          <w:sz w:val="24"/>
          <w:lang w:eastAsia="zh-CN"/>
        </w:rPr>
        <w:t xml:space="preserve"> would be offered by a service which provided: </w:t>
      </w:r>
      <w:r w:rsidRPr="00556EEF">
        <w:rPr>
          <w:rFonts w:cs="Times New Roman"/>
          <w:b/>
          <w:sz w:val="24"/>
          <w:lang w:eastAsia="zh-CN"/>
        </w:rPr>
        <w:t>‘Parental involvement that suited both parent and young person’, and a ‘Protocol for promotion of young people’s confidence in managing their health condition’</w:t>
      </w:r>
      <w:r>
        <w:rPr>
          <w:rFonts w:cs="Times New Roman"/>
          <w:b/>
          <w:sz w:val="24"/>
          <w:lang w:eastAsia="zh-CN"/>
        </w:rPr>
        <w:t>.</w:t>
      </w:r>
      <w:bookmarkStart w:id="0" w:name="_GoBack"/>
      <w:bookmarkEnd w:id="0"/>
    </w:p>
    <w:sectPr w:rsidR="00C10A13" w:rsidSect="009A77F1">
      <w:headerReference w:type="even" r:id="rId8"/>
      <w:headerReference w:type="default" r:id="rId9"/>
      <w:footerReference w:type="even" r:id="rId10"/>
      <w:footerReference w:type="default" r:id="rId11"/>
      <w:headerReference w:type="first" r:id="rId12"/>
      <w:footerReference w:type="first" r:id="rId13"/>
      <w:pgSz w:w="11906" w:h="16838"/>
      <w:pgMar w:top="340" w:right="1440" w:bottom="249"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D23" w:rsidRDefault="004B5D23" w:rsidP="00396C06">
      <w:pPr>
        <w:spacing w:after="0" w:line="240" w:lineRule="auto"/>
      </w:pPr>
      <w:r>
        <w:separator/>
      </w:r>
    </w:p>
  </w:endnote>
  <w:endnote w:type="continuationSeparator" w:id="0">
    <w:p w:rsidR="004B5D23" w:rsidRDefault="004B5D23" w:rsidP="00396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EEF" w:rsidRDefault="00556E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EEF" w:rsidRDefault="00BE7AA7" w:rsidP="00556EEF">
    <w:pPr>
      <w:pStyle w:val="Footer"/>
    </w:pPr>
    <w:r>
      <w:rPr>
        <w:noProof/>
        <w:lang w:eastAsia="en-GB"/>
      </w:rPr>
      <w:drawing>
        <wp:anchor distT="0" distB="0" distL="114300" distR="114300" simplePos="0" relativeHeight="251673088" behindDoc="0" locked="0" layoutInCell="1" allowOverlap="1">
          <wp:simplePos x="0" y="0"/>
          <wp:positionH relativeFrom="margin">
            <wp:align>right</wp:align>
          </wp:positionH>
          <wp:positionV relativeFrom="paragraph">
            <wp:posOffset>130175</wp:posOffset>
          </wp:positionV>
          <wp:extent cx="750570" cy="373380"/>
          <wp:effectExtent l="0" t="0" r="0" b="7620"/>
          <wp:wrapThrough wrapText="bothSides">
            <wp:wrapPolygon edited="0">
              <wp:start x="0" y="0"/>
              <wp:lineTo x="0" y="12122"/>
              <wp:lineTo x="4934" y="17633"/>
              <wp:lineTo x="4934" y="20939"/>
              <wp:lineTo x="20284" y="20939"/>
              <wp:lineTo x="20832" y="15429"/>
              <wp:lineTo x="20832" y="0"/>
              <wp:lineTo x="0" y="0"/>
            </wp:wrapPolygon>
          </wp:wrapThrough>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570" cy="373380"/>
                  </a:xfrm>
                  <a:prstGeom prst="rect">
                    <a:avLst/>
                  </a:prstGeom>
                </pic:spPr>
              </pic:pic>
            </a:graphicData>
          </a:graphic>
        </wp:anchor>
      </w:drawing>
    </w:r>
    <w:r>
      <w:rPr>
        <w:noProof/>
        <w:lang w:eastAsia="en-GB"/>
      </w:rPr>
      <w:drawing>
        <wp:inline distT="0" distB="0" distL="0" distR="0" wp14:anchorId="1C0D4D12" wp14:editId="455271D2">
          <wp:extent cx="869209" cy="579472"/>
          <wp:effectExtent l="0" t="0" r="762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9209" cy="579472"/>
                  </a:xfrm>
                  <a:prstGeom prst="rect">
                    <a:avLst/>
                  </a:prstGeom>
                </pic:spPr>
              </pic:pic>
            </a:graphicData>
          </a:graphic>
        </wp:inline>
      </w:drawing>
    </w:r>
    <w:r>
      <w:tab/>
    </w:r>
    <w:r>
      <w:rPr>
        <w:noProof/>
        <w:lang w:eastAsia="en-GB"/>
      </w:rPr>
      <w:drawing>
        <wp:inline distT="0" distB="0" distL="0" distR="0" wp14:anchorId="06E56DAB" wp14:editId="2AACED93">
          <wp:extent cx="1199515" cy="599758"/>
          <wp:effectExtent l="0" t="0" r="635"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18737" cy="609369"/>
                  </a:xfrm>
                  <a:prstGeom prst="rect">
                    <a:avLst/>
                  </a:prstGeom>
                </pic:spPr>
              </pic:pic>
            </a:graphicData>
          </a:graphic>
        </wp:inline>
      </w:drawing>
    </w:r>
    <w:r w:rsidR="00556EEF">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EEF" w:rsidRDefault="00556E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D23" w:rsidRDefault="004B5D23" w:rsidP="00396C06">
      <w:pPr>
        <w:spacing w:after="0" w:line="240" w:lineRule="auto"/>
      </w:pPr>
      <w:r>
        <w:separator/>
      </w:r>
    </w:p>
  </w:footnote>
  <w:footnote w:type="continuationSeparator" w:id="0">
    <w:p w:rsidR="004B5D23" w:rsidRDefault="004B5D23" w:rsidP="00396C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EEF" w:rsidRDefault="00556E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AA7" w:rsidRDefault="00BE7AA7">
    <w:pPr>
      <w:pStyle w:val="Header"/>
    </w:pPr>
    <w:r>
      <w:tab/>
    </w:r>
    <w:r>
      <w:tab/>
    </w:r>
    <w:r>
      <w:rPr>
        <w:noProof/>
        <w:lang w:eastAsia="en-GB"/>
      </w:rPr>
      <w:drawing>
        <wp:inline distT="0" distB="0" distL="0" distR="0" wp14:anchorId="4BDC5CAD" wp14:editId="5FDC2892">
          <wp:extent cx="702043" cy="406877"/>
          <wp:effectExtent l="0" t="0" r="3175" b="0"/>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2684" cy="407249"/>
                  </a:xfrm>
                  <a:prstGeom prst="rect">
                    <a:avLst/>
                  </a:prstGeom>
                </pic:spPr>
              </pic:pic>
            </a:graphicData>
          </a:graphic>
        </wp:inline>
      </w:drawing>
    </w:r>
    <w:r>
      <w:tab/>
    </w:r>
    <w:r w:rsidRPr="003A301D">
      <w:rPr>
        <w:sz w:val="18"/>
        <w:szCs w:val="18"/>
      </w:rPr>
      <w:t xml:space="preserve">Page </w:t>
    </w:r>
    <w:r w:rsidRPr="003A301D">
      <w:rPr>
        <w:sz w:val="18"/>
        <w:szCs w:val="18"/>
      </w:rPr>
      <w:fldChar w:fldCharType="begin"/>
    </w:r>
    <w:r w:rsidRPr="003A301D">
      <w:rPr>
        <w:sz w:val="18"/>
        <w:szCs w:val="18"/>
      </w:rPr>
      <w:instrText xml:space="preserve"> PAGE   \* MERGEFORMAT </w:instrText>
    </w:r>
    <w:r w:rsidRPr="003A301D">
      <w:rPr>
        <w:sz w:val="18"/>
        <w:szCs w:val="18"/>
      </w:rPr>
      <w:fldChar w:fldCharType="separate"/>
    </w:r>
    <w:r w:rsidR="0068387C">
      <w:rPr>
        <w:noProof/>
        <w:sz w:val="18"/>
        <w:szCs w:val="18"/>
      </w:rPr>
      <w:t>1</w:t>
    </w:r>
    <w:r w:rsidRPr="003A301D">
      <w:rPr>
        <w:noProof/>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EEF" w:rsidRDefault="00556E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576F"/>
    <w:multiLevelType w:val="hybridMultilevel"/>
    <w:tmpl w:val="B6BCCFD2"/>
    <w:lvl w:ilvl="0" w:tplc="3FF27F1A">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D41566"/>
    <w:multiLevelType w:val="multilevel"/>
    <w:tmpl w:val="26E6901C"/>
    <w:lvl w:ilvl="0">
      <w:start w:val="10"/>
      <w:numFmt w:val="decimal"/>
      <w:lvlText w:val="%1"/>
      <w:lvlJc w:val="left"/>
      <w:pPr>
        <w:ind w:left="480" w:hanging="480"/>
      </w:pPr>
      <w:rPr>
        <w:rFonts w:hint="default"/>
      </w:rPr>
    </w:lvl>
    <w:lvl w:ilvl="1">
      <w:start w:val="5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B67D21"/>
    <w:multiLevelType w:val="hybridMultilevel"/>
    <w:tmpl w:val="7990E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D1486A"/>
    <w:multiLevelType w:val="multilevel"/>
    <w:tmpl w:val="7994C07C"/>
    <w:lvl w:ilvl="0">
      <w:start w:val="1"/>
      <w:numFmt w:val="decimal"/>
      <w:lvlText w:val="%1.0"/>
      <w:lvlJc w:val="left"/>
      <w:pPr>
        <w:ind w:left="375" w:hanging="375"/>
      </w:pPr>
      <w:rPr>
        <w:rFonts w:hint="default"/>
      </w:rPr>
    </w:lvl>
    <w:lvl w:ilvl="1">
      <w:start w:val="1"/>
      <w:numFmt w:val="decimalZero"/>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3B69604A"/>
    <w:multiLevelType w:val="multilevel"/>
    <w:tmpl w:val="8E3E8590"/>
    <w:lvl w:ilvl="0">
      <w:start w:val="12"/>
      <w:numFmt w:val="decimal"/>
      <w:lvlText w:val="%1"/>
      <w:lvlJc w:val="left"/>
      <w:pPr>
        <w:ind w:left="480" w:hanging="480"/>
      </w:pPr>
      <w:rPr>
        <w:rFonts w:hint="default"/>
      </w:rPr>
    </w:lvl>
    <w:lvl w:ilvl="1">
      <w:start w:val="5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AD6EA8"/>
    <w:multiLevelType w:val="hybridMultilevel"/>
    <w:tmpl w:val="F09E6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036E5A"/>
    <w:multiLevelType w:val="hybridMultilevel"/>
    <w:tmpl w:val="88EA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5069DF"/>
    <w:multiLevelType w:val="hybridMultilevel"/>
    <w:tmpl w:val="FDC62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94321D"/>
    <w:multiLevelType w:val="hybridMultilevel"/>
    <w:tmpl w:val="6862D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3D3A37"/>
    <w:multiLevelType w:val="hybridMultilevel"/>
    <w:tmpl w:val="E042C03A"/>
    <w:lvl w:ilvl="0" w:tplc="9D42529E">
      <w:start w:val="1"/>
      <w:numFmt w:val="upperLetter"/>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0" w15:restartNumberingAfterBreak="0">
    <w:nsid w:val="5BD13BF2"/>
    <w:multiLevelType w:val="hybridMultilevel"/>
    <w:tmpl w:val="7F0A3116"/>
    <w:lvl w:ilvl="0" w:tplc="688AE67C">
      <w:start w:val="1"/>
      <w:numFmt w:val="upperLetter"/>
      <w:lvlText w:val="%1."/>
      <w:lvlJc w:val="left"/>
      <w:pPr>
        <w:ind w:left="1800" w:hanging="360"/>
      </w:pPr>
      <w:rPr>
        <w:rFonts w:asciiTheme="minorHAnsi" w:eastAsiaTheme="minorHAnsi" w:hAnsiTheme="minorHAnsi" w:cstheme="minorBidi"/>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F0519A2"/>
    <w:multiLevelType w:val="hybridMultilevel"/>
    <w:tmpl w:val="44DAD3CA"/>
    <w:lvl w:ilvl="0" w:tplc="020E41DE">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2" w15:restartNumberingAfterBreak="0">
    <w:nsid w:val="5FDE03FF"/>
    <w:multiLevelType w:val="hybridMultilevel"/>
    <w:tmpl w:val="1B1A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A06D72"/>
    <w:multiLevelType w:val="hybridMultilevel"/>
    <w:tmpl w:val="169E1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1"/>
  </w:num>
  <w:num w:numId="4">
    <w:abstractNumId w:val="3"/>
  </w:num>
  <w:num w:numId="5">
    <w:abstractNumId w:val="9"/>
  </w:num>
  <w:num w:numId="6">
    <w:abstractNumId w:val="2"/>
  </w:num>
  <w:num w:numId="7">
    <w:abstractNumId w:val="8"/>
  </w:num>
  <w:num w:numId="8">
    <w:abstractNumId w:val="12"/>
  </w:num>
  <w:num w:numId="9">
    <w:abstractNumId w:val="7"/>
  </w:num>
  <w:num w:numId="10">
    <w:abstractNumId w:val="0"/>
  </w:num>
  <w:num w:numId="11">
    <w:abstractNumId w:val="5"/>
  </w:num>
  <w:num w:numId="12">
    <w:abstractNumId w:val="4"/>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C06"/>
    <w:rsid w:val="00012FDE"/>
    <w:rsid w:val="00023490"/>
    <w:rsid w:val="00024ED5"/>
    <w:rsid w:val="00025D67"/>
    <w:rsid w:val="00027D62"/>
    <w:rsid w:val="000474BD"/>
    <w:rsid w:val="0005442F"/>
    <w:rsid w:val="00056207"/>
    <w:rsid w:val="00067564"/>
    <w:rsid w:val="00084B79"/>
    <w:rsid w:val="00085EAB"/>
    <w:rsid w:val="000C65A9"/>
    <w:rsid w:val="000C6B52"/>
    <w:rsid w:val="000D1542"/>
    <w:rsid w:val="000F0806"/>
    <w:rsid w:val="0010177A"/>
    <w:rsid w:val="00123F61"/>
    <w:rsid w:val="0014763C"/>
    <w:rsid w:val="00156316"/>
    <w:rsid w:val="00165095"/>
    <w:rsid w:val="001764E9"/>
    <w:rsid w:val="001822D0"/>
    <w:rsid w:val="00195A69"/>
    <w:rsid w:val="00196566"/>
    <w:rsid w:val="001A3A26"/>
    <w:rsid w:val="001B0BC6"/>
    <w:rsid w:val="001C5C3B"/>
    <w:rsid w:val="001D7E51"/>
    <w:rsid w:val="001E0C66"/>
    <w:rsid w:val="001E6E9F"/>
    <w:rsid w:val="001E7F93"/>
    <w:rsid w:val="001F0770"/>
    <w:rsid w:val="00207D1C"/>
    <w:rsid w:val="002222EE"/>
    <w:rsid w:val="002324F4"/>
    <w:rsid w:val="002478B0"/>
    <w:rsid w:val="002562AA"/>
    <w:rsid w:val="0026582C"/>
    <w:rsid w:val="0027001A"/>
    <w:rsid w:val="002706A4"/>
    <w:rsid w:val="00280649"/>
    <w:rsid w:val="00292C68"/>
    <w:rsid w:val="00293350"/>
    <w:rsid w:val="002953C7"/>
    <w:rsid w:val="002A2685"/>
    <w:rsid w:val="002A7605"/>
    <w:rsid w:val="002B4241"/>
    <w:rsid w:val="002B7C79"/>
    <w:rsid w:val="002C2598"/>
    <w:rsid w:val="002C5F92"/>
    <w:rsid w:val="002D22C7"/>
    <w:rsid w:val="002D2895"/>
    <w:rsid w:val="00301DC7"/>
    <w:rsid w:val="00325F65"/>
    <w:rsid w:val="0032765C"/>
    <w:rsid w:val="003376DA"/>
    <w:rsid w:val="00343D76"/>
    <w:rsid w:val="00360827"/>
    <w:rsid w:val="00380B46"/>
    <w:rsid w:val="00396646"/>
    <w:rsid w:val="00396C06"/>
    <w:rsid w:val="00397769"/>
    <w:rsid w:val="003A301D"/>
    <w:rsid w:val="003A47AC"/>
    <w:rsid w:val="003B3E78"/>
    <w:rsid w:val="003C05A4"/>
    <w:rsid w:val="003C2614"/>
    <w:rsid w:val="003C3FF3"/>
    <w:rsid w:val="003D07F3"/>
    <w:rsid w:val="003E5D8C"/>
    <w:rsid w:val="003F254A"/>
    <w:rsid w:val="003F3EAA"/>
    <w:rsid w:val="003F48D5"/>
    <w:rsid w:val="00402939"/>
    <w:rsid w:val="00410C27"/>
    <w:rsid w:val="00412CB7"/>
    <w:rsid w:val="004206A1"/>
    <w:rsid w:val="0042157F"/>
    <w:rsid w:val="00423ECC"/>
    <w:rsid w:val="00430290"/>
    <w:rsid w:val="004401CC"/>
    <w:rsid w:val="00440AD6"/>
    <w:rsid w:val="00441E74"/>
    <w:rsid w:val="004472E8"/>
    <w:rsid w:val="00471D9B"/>
    <w:rsid w:val="004A1700"/>
    <w:rsid w:val="004B5D23"/>
    <w:rsid w:val="004C5DAA"/>
    <w:rsid w:val="004D2B10"/>
    <w:rsid w:val="004D2E13"/>
    <w:rsid w:val="004E23F3"/>
    <w:rsid w:val="004E59AE"/>
    <w:rsid w:val="005031F4"/>
    <w:rsid w:val="00506EBB"/>
    <w:rsid w:val="005174F4"/>
    <w:rsid w:val="005205F4"/>
    <w:rsid w:val="0054402A"/>
    <w:rsid w:val="00546C28"/>
    <w:rsid w:val="005561B4"/>
    <w:rsid w:val="00556EEF"/>
    <w:rsid w:val="005657C7"/>
    <w:rsid w:val="005715D1"/>
    <w:rsid w:val="00587494"/>
    <w:rsid w:val="00590CDF"/>
    <w:rsid w:val="005A51C7"/>
    <w:rsid w:val="005C72CE"/>
    <w:rsid w:val="005E4FD4"/>
    <w:rsid w:val="005E50B6"/>
    <w:rsid w:val="0060187D"/>
    <w:rsid w:val="006231DE"/>
    <w:rsid w:val="00633FCC"/>
    <w:rsid w:val="006401AD"/>
    <w:rsid w:val="00651660"/>
    <w:rsid w:val="006546E4"/>
    <w:rsid w:val="00661D42"/>
    <w:rsid w:val="0068387C"/>
    <w:rsid w:val="00695940"/>
    <w:rsid w:val="00696F33"/>
    <w:rsid w:val="006A2314"/>
    <w:rsid w:val="006A61FB"/>
    <w:rsid w:val="006A7469"/>
    <w:rsid w:val="006C60D7"/>
    <w:rsid w:val="006D4ACA"/>
    <w:rsid w:val="006D520E"/>
    <w:rsid w:val="006D5894"/>
    <w:rsid w:val="00705D82"/>
    <w:rsid w:val="007077B2"/>
    <w:rsid w:val="00722DBF"/>
    <w:rsid w:val="007243D5"/>
    <w:rsid w:val="00740C64"/>
    <w:rsid w:val="00741263"/>
    <w:rsid w:val="00757AFC"/>
    <w:rsid w:val="0076219D"/>
    <w:rsid w:val="00772D9E"/>
    <w:rsid w:val="00780BE8"/>
    <w:rsid w:val="00787B57"/>
    <w:rsid w:val="00792206"/>
    <w:rsid w:val="007B1C0F"/>
    <w:rsid w:val="007C6148"/>
    <w:rsid w:val="007D268A"/>
    <w:rsid w:val="007E0336"/>
    <w:rsid w:val="007E6B22"/>
    <w:rsid w:val="007F0E25"/>
    <w:rsid w:val="00804FC6"/>
    <w:rsid w:val="00806141"/>
    <w:rsid w:val="00814A96"/>
    <w:rsid w:val="00816F26"/>
    <w:rsid w:val="00826363"/>
    <w:rsid w:val="00842979"/>
    <w:rsid w:val="00850652"/>
    <w:rsid w:val="008531D8"/>
    <w:rsid w:val="00873BAC"/>
    <w:rsid w:val="00875547"/>
    <w:rsid w:val="008766FF"/>
    <w:rsid w:val="00880856"/>
    <w:rsid w:val="00881D39"/>
    <w:rsid w:val="00884A2D"/>
    <w:rsid w:val="008917F6"/>
    <w:rsid w:val="008A6A49"/>
    <w:rsid w:val="008C4B80"/>
    <w:rsid w:val="008D7CFA"/>
    <w:rsid w:val="008F0C6D"/>
    <w:rsid w:val="008F61CF"/>
    <w:rsid w:val="008F7D0E"/>
    <w:rsid w:val="00906A39"/>
    <w:rsid w:val="009121C6"/>
    <w:rsid w:val="0091554A"/>
    <w:rsid w:val="00941C37"/>
    <w:rsid w:val="0095000E"/>
    <w:rsid w:val="00954571"/>
    <w:rsid w:val="00962229"/>
    <w:rsid w:val="009665AB"/>
    <w:rsid w:val="009712F9"/>
    <w:rsid w:val="009840F0"/>
    <w:rsid w:val="00984FAB"/>
    <w:rsid w:val="009969C1"/>
    <w:rsid w:val="009A77F1"/>
    <w:rsid w:val="009B564A"/>
    <w:rsid w:val="009C2C33"/>
    <w:rsid w:val="009D44E3"/>
    <w:rsid w:val="009D73B9"/>
    <w:rsid w:val="009E1B35"/>
    <w:rsid w:val="009E5157"/>
    <w:rsid w:val="00A044ED"/>
    <w:rsid w:val="00A06EEF"/>
    <w:rsid w:val="00A10903"/>
    <w:rsid w:val="00A10F3D"/>
    <w:rsid w:val="00A16AB7"/>
    <w:rsid w:val="00A302F3"/>
    <w:rsid w:val="00A32E5D"/>
    <w:rsid w:val="00A34532"/>
    <w:rsid w:val="00A43E7C"/>
    <w:rsid w:val="00A45025"/>
    <w:rsid w:val="00A47CD4"/>
    <w:rsid w:val="00A54F21"/>
    <w:rsid w:val="00A650D7"/>
    <w:rsid w:val="00A65FD1"/>
    <w:rsid w:val="00A80F03"/>
    <w:rsid w:val="00A81051"/>
    <w:rsid w:val="00A827A6"/>
    <w:rsid w:val="00A86489"/>
    <w:rsid w:val="00A91BA9"/>
    <w:rsid w:val="00A93862"/>
    <w:rsid w:val="00A93BB7"/>
    <w:rsid w:val="00A96234"/>
    <w:rsid w:val="00A96992"/>
    <w:rsid w:val="00AA4BC4"/>
    <w:rsid w:val="00AB214C"/>
    <w:rsid w:val="00AE356A"/>
    <w:rsid w:val="00AE6B4B"/>
    <w:rsid w:val="00B0583E"/>
    <w:rsid w:val="00B069BC"/>
    <w:rsid w:val="00B21884"/>
    <w:rsid w:val="00B31A88"/>
    <w:rsid w:val="00B31AF4"/>
    <w:rsid w:val="00B51299"/>
    <w:rsid w:val="00B548F6"/>
    <w:rsid w:val="00B73728"/>
    <w:rsid w:val="00B83E8F"/>
    <w:rsid w:val="00B8410A"/>
    <w:rsid w:val="00B96A00"/>
    <w:rsid w:val="00BC3544"/>
    <w:rsid w:val="00BC44E8"/>
    <w:rsid w:val="00BD76BA"/>
    <w:rsid w:val="00BE5E00"/>
    <w:rsid w:val="00BE7AA7"/>
    <w:rsid w:val="00BF4FA7"/>
    <w:rsid w:val="00C10A13"/>
    <w:rsid w:val="00C13EA4"/>
    <w:rsid w:val="00C15108"/>
    <w:rsid w:val="00C203C7"/>
    <w:rsid w:val="00C4708F"/>
    <w:rsid w:val="00C664B5"/>
    <w:rsid w:val="00C808AD"/>
    <w:rsid w:val="00C84928"/>
    <w:rsid w:val="00C865EB"/>
    <w:rsid w:val="00CA2004"/>
    <w:rsid w:val="00CB035C"/>
    <w:rsid w:val="00CC5C40"/>
    <w:rsid w:val="00CD2896"/>
    <w:rsid w:val="00CD7631"/>
    <w:rsid w:val="00CE0324"/>
    <w:rsid w:val="00CE29CC"/>
    <w:rsid w:val="00CE622B"/>
    <w:rsid w:val="00CF0AD9"/>
    <w:rsid w:val="00D0290F"/>
    <w:rsid w:val="00D03292"/>
    <w:rsid w:val="00D060B9"/>
    <w:rsid w:val="00D13666"/>
    <w:rsid w:val="00D20317"/>
    <w:rsid w:val="00D266BB"/>
    <w:rsid w:val="00D35262"/>
    <w:rsid w:val="00D37B7D"/>
    <w:rsid w:val="00D509AE"/>
    <w:rsid w:val="00D61916"/>
    <w:rsid w:val="00D7009B"/>
    <w:rsid w:val="00D73935"/>
    <w:rsid w:val="00D758AE"/>
    <w:rsid w:val="00D7619F"/>
    <w:rsid w:val="00D97556"/>
    <w:rsid w:val="00DB25BA"/>
    <w:rsid w:val="00DC056E"/>
    <w:rsid w:val="00DC2E37"/>
    <w:rsid w:val="00DC3186"/>
    <w:rsid w:val="00DE3018"/>
    <w:rsid w:val="00DE40BA"/>
    <w:rsid w:val="00E14CC0"/>
    <w:rsid w:val="00E3629C"/>
    <w:rsid w:val="00E37B63"/>
    <w:rsid w:val="00E37C54"/>
    <w:rsid w:val="00E46E9D"/>
    <w:rsid w:val="00E65615"/>
    <w:rsid w:val="00E67A13"/>
    <w:rsid w:val="00E700B7"/>
    <w:rsid w:val="00E72808"/>
    <w:rsid w:val="00E85107"/>
    <w:rsid w:val="00ED11FE"/>
    <w:rsid w:val="00ED3B73"/>
    <w:rsid w:val="00ED43D6"/>
    <w:rsid w:val="00EE3C3C"/>
    <w:rsid w:val="00F17159"/>
    <w:rsid w:val="00F32470"/>
    <w:rsid w:val="00F34948"/>
    <w:rsid w:val="00F57DE1"/>
    <w:rsid w:val="00F66A90"/>
    <w:rsid w:val="00F6786E"/>
    <w:rsid w:val="00F706D2"/>
    <w:rsid w:val="00F7142A"/>
    <w:rsid w:val="00F74395"/>
    <w:rsid w:val="00F85AB7"/>
    <w:rsid w:val="00FA7643"/>
    <w:rsid w:val="00FD1918"/>
    <w:rsid w:val="00FE0CA3"/>
    <w:rsid w:val="00FE2F09"/>
    <w:rsid w:val="00FF21CF"/>
    <w:rsid w:val="00FF4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ECC7E2-5DEE-4658-8B5D-3D16E4F1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49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D28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E033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A77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C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C06"/>
  </w:style>
  <w:style w:type="paragraph" w:styleId="Footer">
    <w:name w:val="footer"/>
    <w:basedOn w:val="Normal"/>
    <w:link w:val="FooterChar"/>
    <w:uiPriority w:val="99"/>
    <w:unhideWhenUsed/>
    <w:rsid w:val="00396C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C06"/>
  </w:style>
  <w:style w:type="paragraph" w:styleId="BalloonText">
    <w:name w:val="Balloon Text"/>
    <w:basedOn w:val="Normal"/>
    <w:link w:val="BalloonTextChar"/>
    <w:uiPriority w:val="99"/>
    <w:semiHidden/>
    <w:unhideWhenUsed/>
    <w:rsid w:val="00396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C06"/>
    <w:rPr>
      <w:rFonts w:ascii="Tahoma" w:hAnsi="Tahoma" w:cs="Tahoma"/>
      <w:sz w:val="16"/>
      <w:szCs w:val="16"/>
    </w:rPr>
  </w:style>
  <w:style w:type="character" w:customStyle="1" w:styleId="Heading1Char">
    <w:name w:val="Heading 1 Char"/>
    <w:basedOn w:val="DefaultParagraphFont"/>
    <w:link w:val="Heading1"/>
    <w:uiPriority w:val="9"/>
    <w:rsid w:val="00F3494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D73935"/>
    <w:pPr>
      <w:spacing w:after="160" w:line="259" w:lineRule="auto"/>
      <w:ind w:left="720"/>
      <w:contextualSpacing/>
    </w:pPr>
  </w:style>
  <w:style w:type="paragraph" w:styleId="NoSpacing">
    <w:name w:val="No Spacing"/>
    <w:uiPriority w:val="1"/>
    <w:qFormat/>
    <w:rsid w:val="00CD2896"/>
    <w:pPr>
      <w:spacing w:after="0" w:line="240" w:lineRule="auto"/>
    </w:pPr>
  </w:style>
  <w:style w:type="character" w:customStyle="1" w:styleId="Heading2Char">
    <w:name w:val="Heading 2 Char"/>
    <w:basedOn w:val="DefaultParagraphFont"/>
    <w:link w:val="Heading2"/>
    <w:uiPriority w:val="9"/>
    <w:rsid w:val="00CD289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E033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A77F1"/>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D7009B"/>
    <w:rPr>
      <w:color w:val="0000FF" w:themeColor="hyperlink"/>
      <w:u w:val="single"/>
    </w:rPr>
  </w:style>
  <w:style w:type="table" w:styleId="TableGrid">
    <w:name w:val="Table Grid"/>
    <w:basedOn w:val="TableNormal"/>
    <w:uiPriority w:val="39"/>
    <w:rsid w:val="00DB25BA"/>
    <w:pPr>
      <w:spacing w:after="0" w:line="240" w:lineRule="auto"/>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110211">
      <w:bodyDiv w:val="1"/>
      <w:marLeft w:val="0"/>
      <w:marRight w:val="0"/>
      <w:marTop w:val="0"/>
      <w:marBottom w:val="0"/>
      <w:divBdr>
        <w:top w:val="none" w:sz="0" w:space="0" w:color="auto"/>
        <w:left w:val="none" w:sz="0" w:space="0" w:color="auto"/>
        <w:bottom w:val="none" w:sz="0" w:space="0" w:color="auto"/>
        <w:right w:val="none" w:sz="0" w:space="0" w:color="auto"/>
      </w:divBdr>
    </w:div>
    <w:div w:id="179794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8B705-A317-478A-8901-4CE8CDF6D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dc:creator>
  <cp:lastModifiedBy>Allan Colver</cp:lastModifiedBy>
  <cp:revision>4</cp:revision>
  <cp:lastPrinted>2017-10-09T10:50:00Z</cp:lastPrinted>
  <dcterms:created xsi:type="dcterms:W3CDTF">2017-10-10T09:14:00Z</dcterms:created>
  <dcterms:modified xsi:type="dcterms:W3CDTF">2017-10-10T09:15:00Z</dcterms:modified>
</cp:coreProperties>
</file>